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R5-227927</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7.6F.2.1 IBB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for In Band Blocking is incomplete.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test configuration for In Band Blocking based on agreed CR R5-224901 that NR-U test point selection shall be the same as for regular NR band. </w:t>
            </w:r>
          </w:p>
          <w:p>
            <w:pPr>
              <w:pStyle w:val="CRCoverPage"/>
              <w:spacing w:after="0"/>
              <w:rPr>
                <w:noProof/>
              </w:rPr>
            </w:pPr>
            <w:r>
              <w:rPr>
                <w:noProof/>
              </w:rPr>
              <w:t>Other editorial  corrections</w:t>
            </w:r>
          </w:p>
          <w:p>
            <w:pPr>
              <w:pStyle w:val="CRCoverPage"/>
              <w:spacing w:after="0"/>
              <w:rPr>
                <w:noProof/>
              </w:rPr>
            </w:pPr>
            <w:r>
              <w:rPr>
                <w:noProof/>
              </w:rPr>
              <w:t>Added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7.6F.2.1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R5-226723r1</w:t>
            </w:r>
            <w:r>
              <w:rPr>
                <w:noProof/>
              </w:rPr>
              <w:t xml:space="preserve"> change – Updated Editor’s Note</w:t>
            </w:r>
          </w:p>
          <w:p>
            <w:pPr>
              <w:pStyle w:val="CRCoverPage"/>
              <w:spacing w:after="0"/>
              <w:ind w:left="100"/>
              <w:rPr>
                <w:noProof/>
              </w:rPr>
            </w:pPr>
            <w:r>
              <w:rPr>
                <w:noProof/>
              </w:rPr>
              <w:t>- Message contents and test procedure specific for NR-U is TBD</w:t>
            </w:r>
          </w:p>
          <w:p>
            <w:pPr>
              <w:pStyle w:val="CRCoverPage"/>
              <w:spacing w:after="0"/>
              <w:ind w:left="100"/>
              <w:rPr>
                <w:noProof/>
              </w:rPr>
            </w:pPr>
            <w:r>
              <w:rPr>
                <w:rFonts w:ascii="Calibri" w:hAnsi="Calibri" w:cs="Calibri"/>
                <w:sz w:val="22"/>
                <w:szCs w:val="22"/>
              </w:rPr>
              <w:t>R5-226723r1</w:t>
            </w:r>
            <w:r>
              <w:rPr>
                <w:rFonts w:ascii="Calibri" w:hAnsi="Calibri" w:cs="Calibri"/>
                <w:sz w:val="22"/>
                <w:szCs w:val="22"/>
              </w:rPr>
              <w:t xml:space="preserve"> revised to R5-227927</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2" w:author="Kevin Wang (QMC)" w:date="2022-10-31T23:11:00Z"/>
        </w:rPr>
      </w:pPr>
      <w:r>
        <w:t>7.6F.2.1</w:t>
      </w:r>
      <w:r>
        <w:tab/>
        <w:t>In-band blocking for shared spectrum channel access</w:t>
      </w:r>
    </w:p>
    <w:p>
      <w:pPr>
        <w:pStyle w:val="EditorsNote"/>
        <w:rPr>
          <w:ins w:id="3" w:author="Kevin Wang (QMC)" w:date="2022-10-31T23:12:00Z"/>
        </w:rPr>
      </w:pPr>
      <w:ins w:id="4" w:author="Kevin Wang (QMC)" w:date="2022-10-31T23:12:00Z">
        <w:r>
          <w:rPr>
            <w:rFonts w:eastAsia="TimesNewRomanPSMT"/>
            <w:lang w:eastAsia="fr-FR"/>
          </w:rPr>
          <w:t>Editor’s note: This clause is incomplete. The following aspects are either missing or not yet determined:</w:t>
        </w:r>
      </w:ins>
    </w:p>
    <w:p>
      <w:pPr>
        <w:pStyle w:val="EditorsNote"/>
        <w:rPr>
          <w:ins w:id="5" w:author="Kevin Wang (QMC)" w:date="2022-11-16T03:13:00Z"/>
        </w:rPr>
      </w:pPr>
      <w:ins w:id="6" w:author="Kevin Wang (QMC)" w:date="2022-10-31T23:12:00Z">
        <w:r>
          <w:t xml:space="preserve">- TT for </w:t>
        </w:r>
        <w:r>
          <w:rPr>
            <w:rFonts w:cs="Arial"/>
            <w:szCs w:val="18"/>
          </w:rPr>
          <w:t>5</w:t>
        </w:r>
        <w:r>
          <w:t>.925GHz &lt; f ≤ 7.125GHz is TBD</w:t>
        </w:r>
      </w:ins>
    </w:p>
    <w:p>
      <w:pPr>
        <w:pStyle w:val="EditorsNote"/>
        <w:rPr>
          <w:ins w:id="7" w:author="Kevin Wang (QMC)" w:date="2022-10-31T23:12:00Z"/>
        </w:rPr>
      </w:pPr>
      <w:ins w:id="8" w:author="Kevin Wang (QMC)" w:date="2022-11-16T03:13:00Z">
        <w:r>
          <w:t xml:space="preserve">- Message contents and test procedure specific for NR-U is TBD </w:t>
        </w:r>
      </w:ins>
    </w:p>
    <w:p>
      <w:pPr>
        <w:rPr>
          <w:del w:id="9" w:author="Kevin Wang (QMC)" w:date="2022-10-31T23:12:00Z"/>
        </w:rPr>
        <w:pPrChange w:id="10" w:author="Kevin Wang (QMC)" w:date="2022-10-31T23:11:00Z">
          <w:pPr>
            <w:pStyle w:val="Heading4"/>
          </w:pPr>
        </w:pPrChange>
      </w:pPr>
    </w:p>
    <w:p>
      <w:pPr>
        <w:pStyle w:val="Heading5"/>
      </w:pPr>
      <w:r>
        <w:t>7.6F.2.1.1</w:t>
      </w:r>
      <w:r>
        <w:tab/>
        <w:t>Test purpose</w:t>
      </w:r>
    </w:p>
    <w:p>
      <w:r>
        <w:t>In-band blocking</w:t>
      </w:r>
      <w:del w:id="11" w:author="Kevin Wang (QMC)" w:date="2022-10-31T22:38:00Z">
        <w:r>
          <w:delText xml:space="preserve"> (IBB)</w:delText>
        </w:r>
      </w:del>
      <w:r>
        <w:t xml:space="preserve"> is defined for an unwanted interfering signal falling into the UE receive band or into the first 60 MHz below or above the UE receive band, at which the relative throughput shall meet or exceed the requirement for the specified measurement channel.</w:t>
      </w:r>
    </w:p>
    <w:p>
      <w:pPr>
        <w:pStyle w:val="Heading5"/>
      </w:pPr>
      <w:r>
        <w:t>7.6F.2.1.2</w:t>
      </w:r>
      <w:r>
        <w:tab/>
        <w:t>Test applicability</w:t>
      </w:r>
    </w:p>
    <w:p>
      <w:r>
        <w:t>This test case applies to all types of NR UE release 16 and forward that support NR standalone shared spectrum channel access.</w:t>
      </w:r>
      <w:del w:id="12" w:author="Kevin Wang (QMC)" w:date="2022-10-31T22:37:00Z">
        <w:r>
          <w:delText>.</w:delText>
        </w:r>
      </w:del>
    </w:p>
    <w:p>
      <w:pPr>
        <w:pStyle w:val="Heading5"/>
      </w:pPr>
      <w:r>
        <w:t>7.6F.2.1.3</w:t>
      </w:r>
      <w:r>
        <w:tab/>
        <w:t>Minimum conformance requirements</w:t>
      </w:r>
    </w:p>
    <w:p>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7.6F.2.1.3-1 and Table 7.6F.2.1.3-2. T</w:t>
      </w:r>
      <w:r>
        <w:rPr>
          <w:rFonts w:cs="v5.0.0"/>
        </w:rPr>
        <w:t>he relative throughput requirement shall be met f</w:t>
      </w:r>
      <w:r>
        <w:t>or any SCS specified for the channel bandwidth of the wanted signal.</w:t>
      </w:r>
    </w:p>
    <w:p>
      <w:pPr>
        <w:pStyle w:val="TH"/>
      </w:pPr>
      <w:r>
        <w:t>Table 7.6F.2.1.3-1: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bl>
    <w:p/>
    <w:p>
      <w:pPr>
        <w:pStyle w:val="TH"/>
      </w:pPr>
      <w:r>
        <w:lastRenderedPageBreak/>
        <w:t>Table 7.6F.2.1.3-2: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2.5pt" o:ole="">
                  <v:imagedata r:id="rId12" o:title=""/>
                </v:shape>
                <o:OLEObject Type="Embed" ProgID="Equation.3" ShapeID="_x0000_i1025" DrawAspect="Content" ObjectID="_1730180782"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13" w:author="Kevin Wang (QMC)" w:date="2022-10-31T22:41: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
      <w:r>
        <w:t>The normative reference for this requirement is TS 38.101-1 [2] clause 7.6F.2.1.</w:t>
      </w:r>
    </w:p>
    <w:p>
      <w:pPr>
        <w:pStyle w:val="Heading5"/>
      </w:pPr>
      <w:r>
        <w:t>7.6F.2.1.4</w:t>
      </w:r>
      <w:r>
        <w:tab/>
        <w:t>Test description</w:t>
      </w:r>
    </w:p>
    <w:p>
      <w:pPr>
        <w:pStyle w:val="H6"/>
      </w:pPr>
      <w:r>
        <w:t>7.6F.2.1.4.1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w:t>
      </w:r>
      <w:ins w:id="14" w:author="Kevin Wang (QMC)" w:date="2022-10-31T22:47:00Z">
        <w:r>
          <w:t xml:space="preserve">supporting </w:t>
        </w:r>
      </w:ins>
      <w:ins w:id="15" w:author="Kevin Wang (QMC)" w:date="2022-10-31T22:48:00Z">
        <w:r>
          <w:t xml:space="preserve">operation with shared spectrum channel access. </w:t>
        </w:r>
      </w:ins>
      <w:del w:id="16" w:author="Kevin Wang (QMC)" w:date="2022-10-31T22:48:00Z">
        <w:r>
          <w:delText xml:space="preserve">specified in Table 5.3.5-1. </w:delText>
        </w:r>
      </w:del>
      <w:ins w:id="17" w:author="Kevin Wang (QMC)" w:date="2022-10-31T22:48:00Z">
        <w:r>
          <w:t xml:space="preserve"> </w:t>
        </w:r>
      </w:ins>
      <w:proofErr w:type="gramStart"/>
      <w:r>
        <w:t>All of</w:t>
      </w:r>
      <w:proofErr w:type="gramEnd"/>
      <w:r>
        <w:t xml:space="preserve"> these configurations shall be tested with applicable test parameters for each combination of channel bandwidth and sub-carrier spacing, are shown in table 7.6F.2.1.4.1-1. The details of the uplink and downlink reference measurement channels (RMC) are specified in Annexes A.2 and A.3. Configuration of PDSCH and PDCCH before measurement are specified in Annex C.2.</w:t>
      </w:r>
    </w:p>
    <w:p>
      <w:pPr>
        <w:pStyle w:val="TH"/>
        <w:rPr>
          <w:lang w:eastAsia="zh-CN"/>
        </w:rPr>
      </w:pPr>
      <w:r>
        <w:t>Table 7.6F.2.1.4.1-1: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8"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9" w:author="Kevin Wang (QMC)" w:date="2022-10-31T22:49:00Z"/>
              </w:rPr>
            </w:pPr>
            <w:ins w:id="20" w:author="Kevin Wang (QMC)" w:date="2022-10-31T22:49:00Z">
              <w:r>
                <w:t>Default Conditions</w:t>
              </w:r>
            </w:ins>
          </w:p>
        </w:tc>
      </w:tr>
      <w:tr>
        <w:trPr>
          <w:cantSplit/>
          <w:jc w:val="center"/>
          <w:ins w:id="21"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22" w:author="Kevin Wang (QMC)" w:date="2022-10-31T22:49:00Z"/>
              </w:rPr>
            </w:pPr>
            <w:ins w:id="23" w:author="Kevin Wang (QMC)" w:date="2022-10-31T22: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24" w:author="Kevin Wang (QMC)" w:date="2022-10-31T22:49:00Z"/>
              </w:rPr>
            </w:pPr>
            <w:ins w:id="25" w:author="Kevin Wang (QMC)" w:date="2022-10-31T22:49:00Z">
              <w:r>
                <w:t>Normal</w:t>
              </w:r>
            </w:ins>
          </w:p>
        </w:tc>
      </w:tr>
      <w:tr>
        <w:trPr>
          <w:cantSplit/>
          <w:jc w:val="center"/>
          <w:ins w:id="26"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2:49:00Z"/>
              </w:rPr>
            </w:pPr>
            <w:ins w:id="28" w:author="Kevin Wang (QMC)" w:date="2022-10-31T22: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9" w:author="Kevin Wang (QMC)" w:date="2022-10-31T22:49:00Z"/>
              </w:rPr>
            </w:pPr>
            <w:proofErr w:type="spellStart"/>
            <w:ins w:id="30" w:author="Kevin Wang (QMC)" w:date="2022-10-31T22:49:00Z">
              <w:r>
                <w:rPr>
                  <w:lang w:eastAsia="zh-CN"/>
                </w:rPr>
                <w:t>Mid range</w:t>
              </w:r>
              <w:proofErr w:type="spellEnd"/>
            </w:ins>
          </w:p>
        </w:tc>
      </w:tr>
      <w:tr>
        <w:trPr>
          <w:cantSplit/>
          <w:jc w:val="center"/>
          <w:ins w:id="31"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2" w:author="Kevin Wang (QMC)" w:date="2022-10-31T22:49:00Z"/>
              </w:rPr>
            </w:pPr>
            <w:ins w:id="33" w:author="Kevin Wang (QMC)" w:date="2022-10-31T22: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4" w:author="Kevin Wang (QMC)" w:date="2022-10-31T22:49:00Z"/>
              </w:rPr>
            </w:pPr>
            <w:ins w:id="35" w:author="Kevin Wang (QMC)" w:date="2022-10-31T22:49:00Z">
              <w:r>
                <w:t>Lowest, Mid, Highest</w:t>
              </w:r>
            </w:ins>
          </w:p>
          <w:p>
            <w:pPr>
              <w:pStyle w:val="TAL"/>
              <w:rPr>
                <w:ins w:id="36" w:author="Kevin Wang (QMC)" w:date="2022-10-31T22:49:00Z"/>
              </w:rPr>
            </w:pPr>
          </w:p>
        </w:tc>
      </w:tr>
      <w:tr>
        <w:trPr>
          <w:cantSplit/>
          <w:jc w:val="center"/>
          <w:ins w:id="37" w:author="Kevin Wang (QMC)" w:date="2022-10-31T22: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8" w:author="Kevin Wang (QMC)" w:date="2022-10-31T22:49:00Z"/>
              </w:rPr>
            </w:pPr>
            <w:ins w:id="39" w:author="Kevin Wang (QMC)" w:date="2022-10-31T22: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40" w:author="Kevin Wang (QMC)" w:date="2022-10-31T22:49:00Z"/>
              </w:rPr>
            </w:pPr>
            <w:ins w:id="41" w:author="Kevin Wang (QMC)" w:date="2022-10-31T22:49:00Z">
              <w:r>
                <w:t>Lowest</w:t>
              </w:r>
            </w:ins>
          </w:p>
        </w:tc>
      </w:tr>
      <w:tr>
        <w:trPr>
          <w:cantSplit/>
          <w:jc w:val="center"/>
          <w:ins w:id="42"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43" w:author="Kevin Wang (QMC)" w:date="2022-10-31T22:49:00Z"/>
              </w:rPr>
            </w:pPr>
            <w:ins w:id="44" w:author="Kevin Wang (QMC)" w:date="2022-10-31T22:49:00Z">
              <w:r>
                <w:t>Test Parameters</w:t>
              </w:r>
            </w:ins>
          </w:p>
        </w:tc>
      </w:tr>
      <w:tr>
        <w:trPr>
          <w:jc w:val="center"/>
          <w:ins w:id="45"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L"/>
              <w:rPr>
                <w:ins w:id="46" w:author="Kevin Wang (QMC)" w:date="2022-10-31T22: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2:49:00Z"/>
              </w:rPr>
            </w:pPr>
            <w:ins w:id="48" w:author="Kevin Wang (QMC)" w:date="2022-10-31T22: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49" w:author="Kevin Wang (QMC)" w:date="2022-10-31T22:49:00Z"/>
              </w:rPr>
            </w:pPr>
            <w:ins w:id="50" w:author="Kevin Wang (QMC)" w:date="2022-10-31T22:49:00Z">
              <w:r>
                <w:t>Uplink Configuration</w:t>
              </w:r>
            </w:ins>
          </w:p>
        </w:tc>
      </w:tr>
      <w:tr>
        <w:trPr>
          <w:cantSplit/>
          <w:jc w:val="center"/>
          <w:ins w:id="51" w:author="Kevin Wang (QMC)" w:date="2022-10-31T22: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52" w:author="Kevin Wang (QMC)" w:date="2022-10-31T22:49:00Z"/>
              </w:rPr>
            </w:pPr>
            <w:ins w:id="53" w:author="Kevin Wang (QMC)" w:date="2022-10-31T22: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54" w:author="Kevin Wang (QMC)" w:date="2022-10-31T22:49:00Z"/>
              </w:rPr>
            </w:pPr>
            <w:proofErr w:type="spellStart"/>
            <w:ins w:id="55" w:author="Kevin Wang (QMC)" w:date="2022-10-31T22: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56" w:author="Kevin Wang (QMC)" w:date="2022-10-31T22:49:00Z"/>
              </w:rPr>
            </w:pPr>
            <w:ins w:id="57" w:author="Kevin Wang (QMC)" w:date="2022-10-31T22: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58" w:author="Kevin Wang (QMC)" w:date="2022-10-31T22:49:00Z"/>
              </w:rPr>
            </w:pPr>
            <w:proofErr w:type="spellStart"/>
            <w:ins w:id="59" w:author="Kevin Wang (QMC)" w:date="2022-10-31T22: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0" w:author="Kevin Wang (QMC)" w:date="2022-10-31T22:49:00Z"/>
              </w:rPr>
            </w:pPr>
            <w:ins w:id="61" w:author="Kevin Wang (QMC)" w:date="2022-10-31T22:49:00Z">
              <w:r>
                <w:t>RB allocation</w:t>
              </w:r>
            </w:ins>
          </w:p>
        </w:tc>
      </w:tr>
      <w:tr>
        <w:trPr>
          <w:jc w:val="center"/>
          <w:ins w:id="62" w:author="Kevin Wang (QMC)" w:date="2022-10-31T22:49:00Z"/>
        </w:trPr>
        <w:tc>
          <w:tcPr>
            <w:tcW w:w="971" w:type="dxa"/>
            <w:tcBorders>
              <w:top w:val="single" w:sz="4" w:space="0" w:color="auto"/>
              <w:left w:val="single" w:sz="4" w:space="0" w:color="auto"/>
              <w:bottom w:val="single" w:sz="4" w:space="0" w:color="auto"/>
              <w:right w:val="single" w:sz="4" w:space="0" w:color="auto"/>
            </w:tcBorders>
          </w:tcPr>
          <w:p>
            <w:pPr>
              <w:pStyle w:val="TAC"/>
              <w:rPr>
                <w:ins w:id="63" w:author="Kevin Wang (QMC)" w:date="2022-10-31T22:49:00Z"/>
              </w:rPr>
            </w:pPr>
            <w:ins w:id="64" w:author="Kevin Wang (QMC)" w:date="2022-10-31T22:49:00Z">
              <w:r>
                <w:t>1</w:t>
              </w:r>
            </w:ins>
          </w:p>
        </w:tc>
        <w:tc>
          <w:tcPr>
            <w:tcW w:w="1890" w:type="dxa"/>
            <w:tcBorders>
              <w:top w:val="single" w:sz="4" w:space="0" w:color="auto"/>
              <w:left w:val="single" w:sz="4" w:space="0" w:color="auto"/>
              <w:right w:val="single" w:sz="4" w:space="0" w:color="auto"/>
            </w:tcBorders>
          </w:tcPr>
          <w:p>
            <w:pPr>
              <w:pStyle w:val="TAC"/>
              <w:rPr>
                <w:ins w:id="65" w:author="Kevin Wang (QMC)" w:date="2022-10-31T22:49:00Z"/>
              </w:rPr>
            </w:pPr>
            <w:ins w:id="66" w:author="Kevin Wang (QMC)" w:date="2022-10-31T22: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67" w:author="Kevin Wang (QMC)" w:date="2022-10-31T22:49:00Z"/>
              </w:rPr>
            </w:pPr>
            <w:ins w:id="68" w:author="Kevin Wang (QMC)" w:date="2022-10-31T22: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69" w:author="Kevin Wang (QMC)" w:date="2022-10-31T22:49:00Z"/>
              </w:rPr>
            </w:pPr>
            <w:ins w:id="70" w:author="Kevin Wang (QMC)" w:date="2022-10-31T22: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71" w:author="Kevin Wang (QMC)" w:date="2022-10-31T22:49:00Z"/>
              </w:rPr>
            </w:pPr>
            <w:ins w:id="72" w:author="Kevin Wang (QMC)" w:date="2022-10-31T22:49:00Z">
              <w:r>
                <w:rPr>
                  <w:lang w:eastAsia="zh-CN"/>
                </w:rPr>
                <w:t>NOTE 1</w:t>
              </w:r>
            </w:ins>
          </w:p>
        </w:tc>
      </w:tr>
      <w:tr>
        <w:trPr>
          <w:cantSplit/>
          <w:jc w:val="center"/>
          <w:ins w:id="73" w:author="Kevin Wang (QMC)" w:date="2022-10-31T22: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74" w:author="Kevin Wang (QMC)" w:date="2022-10-31T22:49:00Z"/>
                <w:lang w:eastAsia="zh-CN"/>
              </w:rPr>
            </w:pPr>
            <w:ins w:id="75" w:author="Kevin Wang (QMC)" w:date="2022-10-31T22:49:00Z">
              <w:r>
                <w:rPr>
                  <w:lang w:eastAsia="zh-CN"/>
                </w:rPr>
                <w:t>NOTE 1:</w:t>
              </w:r>
              <w:r>
                <w:rPr>
                  <w:lang w:eastAsia="zh-CN"/>
                </w:rPr>
                <w:tab/>
                <w:t xml:space="preserve">The specific configuration of uplink and downlink are defined in </w:t>
              </w:r>
            </w:ins>
            <w:ins w:id="76" w:author="Kevin Wang (QMC)" w:date="2022-10-31T23:04:00Z">
              <w:r>
                <w:rPr>
                  <w:lang w:eastAsia="zh-CN"/>
                </w:rPr>
                <w:t xml:space="preserve">Table 7.3F.2.4.1-2 and </w:t>
              </w:r>
            </w:ins>
            <w:ins w:id="77" w:author="Kevin Wang (QMC)" w:date="2022-10-31T22:50:00Z">
              <w:r>
                <w:rPr>
                  <w:lang w:eastAsia="zh-CN"/>
                </w:rPr>
                <w:t>Table 7.3F.2.4.1-3</w:t>
              </w:r>
            </w:ins>
            <w:ins w:id="78" w:author="Kevin Wang (QMC)" w:date="2022-10-31T22:49:00Z">
              <w:r>
                <w:rPr>
                  <w:lang w:eastAsia="zh-CN"/>
                </w:rPr>
                <w:t>.</w:t>
              </w:r>
            </w:ins>
          </w:p>
          <w:p>
            <w:pPr>
              <w:pStyle w:val="TAN"/>
              <w:rPr>
                <w:ins w:id="79" w:author="Kevin Wang (QMC)" w:date="2022-10-31T22:49:00Z"/>
              </w:rPr>
            </w:pPr>
            <w:ins w:id="80" w:author="Kevin Wang (QMC)" w:date="2022-10-31T22:49:00Z">
              <w:r>
                <w:rPr>
                  <w:lang w:eastAsia="zh-CN"/>
                </w:rPr>
                <w:t>NOTE 2:</w:t>
              </w:r>
              <w:r>
                <w:rPr>
                  <w:lang w:eastAsia="zh-CN"/>
                </w:rPr>
                <w:tab/>
                <w:t>In a band where UE supports 4Rx, the test shall be performed only with 4Rx antennas ports connected and 4Rx REFSENS requirement (Table 7.3</w:t>
              </w:r>
            </w:ins>
            <w:ins w:id="81" w:author="Kevin Wang (QMC)" w:date="2022-10-31T22:50:00Z">
              <w:r>
                <w:rPr>
                  <w:lang w:eastAsia="zh-CN"/>
                </w:rPr>
                <w:t>F</w:t>
              </w:r>
            </w:ins>
            <w:ins w:id="82" w:author="Kevin Wang (QMC)" w:date="2022-10-31T22:49:00Z">
              <w:r>
                <w:rPr>
                  <w:lang w:eastAsia="zh-CN"/>
                </w:rPr>
                <w:t xml:space="preserve">.2.5-2) is used in the test requirements. </w:t>
              </w:r>
            </w:ins>
          </w:p>
        </w:tc>
      </w:tr>
    </w:tbl>
    <w:p>
      <w:pPr>
        <w:pStyle w:val="B1"/>
        <w:rPr>
          <w:del w:id="83" w:author="Kevin Wang (QMC)" w:date="2022-10-31T22:49:00Z"/>
        </w:rPr>
      </w:pPr>
      <w:del w:id="84" w:author="Kevin Wang (QMC)" w:date="2022-10-31T22:49:00Z">
        <w:r>
          <w:delText>FFS</w:delText>
        </w:r>
      </w:del>
    </w:p>
    <w:p>
      <w:pPr>
        <w:rPr>
          <w:ins w:id="85" w:author="Kevin Wang (QMC)" w:date="2022-10-31T22: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lastRenderedPageBreak/>
        <w:t>3.</w:t>
      </w:r>
      <w:r>
        <w:tab/>
        <w:t>Downlink signals are initially set up according to Annex C.0, C.1, C.2, C.3.1, and uplink signals according to Annex G.0, G.1, G.2, G.3.1.</w:t>
      </w:r>
    </w:p>
    <w:p>
      <w:pPr>
        <w:pStyle w:val="B1"/>
      </w:pPr>
      <w:r>
        <w:t>4.</w:t>
      </w:r>
      <w:r>
        <w:tab/>
        <w:t>The DL and UL Reference Measurement channels are set according to Table 7.6F.2.1.4.1-1.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w:t>
      </w:r>
      <w:ins w:id="86" w:author="Kevin Wang (QMC)" w:date="2022-10-31T22:52:00Z">
        <w:r>
          <w:t>7.6F.2.1.4.3</w:t>
        </w:r>
      </w:ins>
      <w:del w:id="87" w:author="Kevin Wang (QMC)" w:date="2022-10-31T22:52:00Z">
        <w:r>
          <w:delText>7.6.2.4.3</w:delText>
        </w:r>
      </w:del>
      <w:r>
        <w:t>.</w:t>
      </w:r>
    </w:p>
    <w:p>
      <w:pPr>
        <w:pStyle w:val="H6"/>
      </w:pPr>
      <w:r>
        <w:t>7.6F.2.1.4.2</w:t>
      </w:r>
      <w:r>
        <w:tab/>
        <w:t>Test procedure</w:t>
      </w:r>
    </w:p>
    <w:p>
      <w:pPr>
        <w:pStyle w:val="B1"/>
      </w:pPr>
      <w:r>
        <w:t>1.</w:t>
      </w:r>
      <w:r>
        <w:tab/>
        <w:t>SS transmits PDSCH via PDCCH DCI format 1_1 for C_RNTI to transmit the DL RMC according to Table 7.6F.2.1.4.1-1. The SS sends downlink MAC padding bits on the DL RMC.</w:t>
      </w:r>
    </w:p>
    <w:p>
      <w:pPr>
        <w:pStyle w:val="B1"/>
      </w:pPr>
      <w:r>
        <w:t>2.</w:t>
      </w:r>
      <w:r>
        <w:tab/>
        <w:t>SS sends uplink scheduling information for each UL HARQ process via PDCCH DCI format 0_1 for C_RNTI to schedule the UL RMC according to Table 7.6F.2.1.4.1-1. Since the UL has no payload and no loopback data to send the UE sends uplink MAC padding bits on the UL RMC.</w:t>
      </w:r>
    </w:p>
    <w:p>
      <w:pPr>
        <w:pStyle w:val="B1"/>
      </w:pPr>
      <w:r>
        <w:t>3.</w:t>
      </w:r>
      <w:r>
        <w:tab/>
        <w:t>Set the parameters of the signal generator for an interfering signal below the wanted signal in according to Tables 7.6F.2.1.5-1 and 7.6F.2.1.5-2.</w:t>
      </w:r>
    </w:p>
    <w:p>
      <w:pPr>
        <w:pStyle w:val="B1"/>
      </w:pPr>
      <w:r>
        <w:t>4.</w:t>
      </w:r>
      <w:r>
        <w:tab/>
        <w:t xml:space="preserve">Set the downlink signal level according to </w:t>
      </w:r>
      <w:del w:id="88" w:author="Kevin Wang (QMC)" w:date="2022-10-31T22:54:00Z">
        <w:r>
          <w:delText xml:space="preserve">the </w:delText>
        </w:r>
      </w:del>
      <w:ins w:id="89" w:author="Kevin Wang (QMC)" w:date="2022-10-31T22:54:00Z">
        <w:r>
          <w:t>Tables 7.6F.2.1.5-1</w:t>
        </w:r>
      </w:ins>
      <w:del w:id="90" w:author="Kevin Wang (QMC)" w:date="2022-10-31T22:54:00Z">
        <w:r>
          <w:delText>table 7.6F.2.5-1</w:delText>
        </w:r>
      </w:del>
      <w: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d="91" w:author="Kevin Wang (QMC)" w:date="2022-10-31T22:55:00Z">
        <w:r>
          <w:t xml:space="preserve">7.6F.2.1.5-1 </w:t>
        </w:r>
      </w:ins>
      <w:del w:id="92" w:author="Kevin Wang (QMC)" w:date="2022-10-31T22:55:00Z">
        <w:r>
          <w:delText>7.</w:delText>
        </w:r>
        <w:r>
          <w:rPr>
            <w:lang w:eastAsia="zh-CN"/>
          </w:rPr>
          <w:delText>6F.2</w:delText>
        </w:r>
        <w:r>
          <w:delText>.5-</w:delText>
        </w:r>
        <w:r>
          <w:rPr>
            <w:lang w:eastAsia="zh-CN"/>
          </w:rPr>
          <w:delText>1</w:delText>
        </w:r>
        <w:r>
          <w:delText xml:space="preserve"> </w:delText>
        </w:r>
      </w:del>
      <w:r>
        <w:t>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t>-</w:t>
      </w:r>
      <w:r>
        <w:tab/>
        <w:t>Uplink power control window size = 1dB (UE power step size) + 0.7dB (UE power step tolerance) + (Test system relative power measurement uncertainty), where</w:t>
      </w:r>
      <w:del w:id="93" w:author="Kevin Wang (QMC)" w:date="2022-10-31T22:55:00Z">
        <w:r>
          <w:delText>,</w:delText>
        </w:r>
      </w:del>
      <w:r>
        <w:t xml:space="preserve"> the UE power step tolerance is specified in TS 38.101-1 [2], Table 6.3.4.3-1 and is 0.7dB for 1dB power step size, </w:t>
      </w:r>
      <w:r>
        <w:rPr>
          <w:lang w:eastAsia="zh-CN"/>
        </w:rPr>
        <w:t>and the Test system relative power measurement uncertainty is specified for test case 6.3.4.3 in Table F.1.2-1.</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7.6F.2.1.4.3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eading5"/>
      </w:pPr>
      <w:r>
        <w:t>7.6F.2.1.5</w:t>
      </w:r>
      <w:r>
        <w:tab/>
        <w:t>Test requirement</w:t>
      </w:r>
    </w:p>
    <w:p>
      <w:r>
        <w:t xml:space="preserve">For </w:t>
      </w:r>
      <w:ins w:id="94" w:author="Kevin Wang (QMC)" w:date="2022-10-31T23:02:00Z">
        <w:r>
          <w:t xml:space="preserve">NR bands supporting </w:t>
        </w:r>
      </w:ins>
      <w:r>
        <w:t>shared spectrum channel access</w:t>
      </w:r>
      <w:del w:id="95" w:author="Kevin Wang (QMC)" w:date="2022-10-31T23:02:00Z">
        <w:r>
          <w:delText xml:space="preserve"> band</w:delText>
        </w:r>
      </w:del>
      <w:r>
        <w:t xml:space="preserve">, the throughput measurement derived in test procedure shall be ≥ 95% of the maximum throughput of the reference measurement channels as specified in Annex </w:t>
      </w:r>
      <w:r>
        <w:rPr>
          <w:rFonts w:eastAsia="MS Mincho"/>
        </w:rPr>
        <w:t xml:space="preserve">in </w:t>
      </w:r>
      <w:r>
        <w:t xml:space="preserve">Annexes A.2.2, A.2.3 and A.3.2  with parameters specified in Tables 7.6F.2.1.5-1 and Tables 7.6F.2.1.5-2. </w:t>
      </w:r>
    </w:p>
    <w:p>
      <w:pPr>
        <w:pStyle w:val="TH"/>
      </w:pPr>
      <w:r>
        <w:lastRenderedPageBreak/>
        <w:t>Table 7.6F.2.1.5-1: In-band blocking parameters for shared access bands</w:t>
      </w:r>
    </w:p>
    <w:tbl>
      <w:tblPr>
        <w:tblW w:w="7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tblGrid>
      <w:tr>
        <w:trPr>
          <w:jc w:val="center"/>
        </w:trPr>
        <w:tc>
          <w:tcPr>
            <w:tcW w:w="1486"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09" w:type="dxa"/>
            <w:gridSpan w:val="4"/>
          </w:tcPr>
          <w:p>
            <w:pPr>
              <w:pStyle w:val="TAH"/>
            </w:pPr>
            <w:r>
              <w:t>Channel bandwidth</w:t>
            </w:r>
          </w:p>
        </w:tc>
      </w:tr>
      <w:tr>
        <w:trPr>
          <w:jc w:val="center"/>
        </w:trPr>
        <w:tc>
          <w:tcPr>
            <w:tcW w:w="1486" w:type="dxa"/>
            <w:tcBorders>
              <w:top w:val="nil"/>
              <w:bottom w:val="single" w:sz="4" w:space="0" w:color="auto"/>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2" w:type="dxa"/>
          </w:tcPr>
          <w:p>
            <w:pPr>
              <w:pStyle w:val="TAH"/>
            </w:pPr>
            <w:r>
              <w:t>60 MHz</w:t>
            </w:r>
          </w:p>
        </w:tc>
        <w:tc>
          <w:tcPr>
            <w:tcW w:w="1302" w:type="dxa"/>
          </w:tcPr>
          <w:p>
            <w:pPr>
              <w:pStyle w:val="TAH"/>
            </w:pPr>
            <w:r>
              <w:t>80 MHz</w:t>
            </w:r>
          </w:p>
        </w:tc>
      </w:tr>
      <w:tr>
        <w:trPr>
          <w:jc w:val="center"/>
        </w:trPr>
        <w:tc>
          <w:tcPr>
            <w:tcW w:w="1486" w:type="dxa"/>
            <w:tcBorders>
              <w:bottom w:val="nil"/>
            </w:tcBorders>
            <w:shd w:val="clear" w:color="auto" w:fill="auto"/>
          </w:tcPr>
          <w:p>
            <w:pPr>
              <w:pStyle w:val="TAL"/>
            </w:pPr>
            <w:r>
              <w:t>Power in transmission bandwidth configuration</w:t>
            </w:r>
          </w:p>
        </w:tc>
        <w:tc>
          <w:tcPr>
            <w:tcW w:w="907" w:type="dxa"/>
          </w:tcPr>
          <w:p>
            <w:pPr>
              <w:pStyle w:val="TAC"/>
            </w:pPr>
            <w:r>
              <w:t>dBm</w:t>
            </w:r>
          </w:p>
        </w:tc>
        <w:tc>
          <w:tcPr>
            <w:tcW w:w="5209" w:type="dxa"/>
            <w:gridSpan w:val="4"/>
          </w:tcPr>
          <w:p>
            <w:pPr>
              <w:pStyle w:val="TAC"/>
            </w:pPr>
            <w:r>
              <w:t>REFSENS + channel bandwidth specific value below</w:t>
            </w:r>
          </w:p>
        </w:tc>
      </w:tr>
      <w:tr>
        <w:trPr>
          <w:jc w:val="center"/>
        </w:trPr>
        <w:tc>
          <w:tcPr>
            <w:tcW w:w="1486" w:type="dxa"/>
            <w:tcBorders>
              <w:top w:val="nil"/>
            </w:tcBorders>
            <w:shd w:val="clear" w:color="auto" w:fill="auto"/>
          </w:tcPr>
          <w:p>
            <w:pPr>
              <w:pStyle w:val="TAL"/>
            </w:pPr>
          </w:p>
        </w:tc>
        <w:tc>
          <w:tcPr>
            <w:tcW w:w="907" w:type="dxa"/>
          </w:tcPr>
          <w:p>
            <w:pPr>
              <w:pStyle w:val="TAC"/>
            </w:pPr>
            <w:r>
              <w:t>dB</w:t>
            </w:r>
          </w:p>
        </w:tc>
        <w:tc>
          <w:tcPr>
            <w:tcW w:w="1302" w:type="dxa"/>
          </w:tcPr>
          <w:p>
            <w:pPr>
              <w:pStyle w:val="TAC"/>
            </w:pPr>
            <w:r>
              <w:t>9</w:t>
            </w:r>
          </w:p>
        </w:tc>
        <w:tc>
          <w:tcPr>
            <w:tcW w:w="1303" w:type="dxa"/>
          </w:tcPr>
          <w:p>
            <w:pPr>
              <w:pStyle w:val="TAC"/>
            </w:pPr>
            <w:r>
              <w:t>12</w:t>
            </w:r>
          </w:p>
        </w:tc>
        <w:tc>
          <w:tcPr>
            <w:tcW w:w="1302" w:type="dxa"/>
          </w:tcPr>
          <w:p>
            <w:pPr>
              <w:pStyle w:val="TAC"/>
            </w:pPr>
            <w:r>
              <w:t>13.8</w:t>
            </w:r>
          </w:p>
        </w:tc>
        <w:tc>
          <w:tcPr>
            <w:tcW w:w="1302" w:type="dxa"/>
          </w:tcPr>
          <w:p>
            <w:pPr>
              <w:pStyle w:val="TAC"/>
            </w:pPr>
            <w:r>
              <w:t>15</w:t>
            </w:r>
          </w:p>
        </w:tc>
      </w:tr>
      <w:tr>
        <w:trPr>
          <w:jc w:val="center"/>
        </w:trPr>
        <w:tc>
          <w:tcPr>
            <w:tcW w:w="1486" w:type="dxa"/>
            <w:shd w:val="clear" w:color="auto" w:fill="auto"/>
          </w:tcPr>
          <w:p>
            <w:pPr>
              <w:pStyle w:val="TAL"/>
            </w:pPr>
            <w:proofErr w:type="spellStart"/>
            <w:r>
              <w:t>BW</w:t>
            </w:r>
            <w:r>
              <w:rPr>
                <w:vertAlign w:val="subscript"/>
              </w:rPr>
              <w:t>interferer</w:t>
            </w:r>
            <w:proofErr w:type="spellEnd"/>
          </w:p>
        </w:tc>
        <w:tc>
          <w:tcPr>
            <w:tcW w:w="907" w:type="dxa"/>
          </w:tcPr>
          <w:p>
            <w:pPr>
              <w:pStyle w:val="TAC"/>
            </w:pPr>
            <w:r>
              <w:t>MHz</w:t>
            </w:r>
          </w:p>
        </w:tc>
        <w:tc>
          <w:tcPr>
            <w:tcW w:w="5209" w:type="dxa"/>
            <w:gridSpan w:val="4"/>
          </w:tcPr>
          <w:p>
            <w:pPr>
              <w:pStyle w:val="TAC"/>
            </w:pPr>
            <w:r>
              <w:t>20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1</w:t>
            </w:r>
          </w:p>
        </w:tc>
        <w:tc>
          <w:tcPr>
            <w:tcW w:w="907" w:type="dxa"/>
          </w:tcPr>
          <w:p>
            <w:pPr>
              <w:pStyle w:val="TAC"/>
            </w:pPr>
            <w:r>
              <w:t>MHz</w:t>
            </w:r>
          </w:p>
        </w:tc>
        <w:tc>
          <w:tcPr>
            <w:tcW w:w="5209" w:type="dxa"/>
            <w:gridSpan w:val="4"/>
          </w:tcPr>
          <w:p>
            <w:pPr>
              <w:pStyle w:val="TAC"/>
            </w:pPr>
            <w:r>
              <w:t>30</w:t>
            </w:r>
          </w:p>
        </w:tc>
      </w:tr>
      <w:tr>
        <w:trPr>
          <w:jc w:val="center"/>
        </w:trPr>
        <w:tc>
          <w:tcPr>
            <w:tcW w:w="1486" w:type="dxa"/>
            <w:shd w:val="clear" w:color="auto" w:fill="auto"/>
          </w:tcPr>
          <w:p>
            <w:pPr>
              <w:pStyle w:val="TAL"/>
            </w:pPr>
            <w:proofErr w:type="spellStart"/>
            <w:r>
              <w:t>F</w:t>
            </w:r>
            <w:r>
              <w:rPr>
                <w:vertAlign w:val="subscript"/>
              </w:rPr>
              <w:t>Ioffset</w:t>
            </w:r>
            <w:proofErr w:type="spellEnd"/>
            <w:r>
              <w:rPr>
                <w:vertAlign w:val="subscript"/>
              </w:rPr>
              <w:t>, case 2</w:t>
            </w:r>
          </w:p>
        </w:tc>
        <w:tc>
          <w:tcPr>
            <w:tcW w:w="907" w:type="dxa"/>
          </w:tcPr>
          <w:p>
            <w:pPr>
              <w:pStyle w:val="TAC"/>
            </w:pPr>
            <w:r>
              <w:t>MHz</w:t>
            </w:r>
          </w:p>
        </w:tc>
        <w:tc>
          <w:tcPr>
            <w:tcW w:w="5209" w:type="dxa"/>
            <w:gridSpan w:val="4"/>
          </w:tcPr>
          <w:p>
            <w:pPr>
              <w:pStyle w:val="TAC"/>
            </w:pPr>
            <w:r>
              <w:rPr>
                <w:rFonts w:cs="Arial"/>
              </w:rPr>
              <w:t>≥</w:t>
            </w:r>
            <w:r>
              <w:t xml:space="preserve"> 50</w:t>
            </w:r>
          </w:p>
        </w:tc>
      </w:tr>
      <w:tr>
        <w:trPr>
          <w:jc w:val="center"/>
        </w:trPr>
        <w:tc>
          <w:tcPr>
            <w:tcW w:w="7602"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96" w:author="Kevin Wang (QMC)" w:date="2022-10-31T23:07:00Z">
              <w:r>
                <w:rPr>
                  <w:rFonts w:cs="Arial"/>
                  <w:lang w:val="en-US" w:eastAsia="fr-FR"/>
                  <w:rPrChange w:id="97" w:author="Kevin Wang (QMC)" w:date="2022-10-31T23:07:00Z">
                    <w:rPr>
                      <w:rFonts w:cs="Arial"/>
                      <w:b/>
                      <w:bCs/>
                      <w:lang w:val="en-US" w:eastAsia="fr-FR"/>
                    </w:rPr>
                  </w:rPrChange>
                </w:rPr>
                <w:t>Table 7.3F.2.3-3</w:t>
              </w:r>
            </w:ins>
            <w:del w:id="98" w:author="Kevin Wang (QMC)" w:date="2022-10-31T23:07:00Z">
              <w:r>
                <w:delText xml:space="preserve">Table 7.3.2-3 </w:delText>
              </w:r>
            </w:del>
            <w:ins w:id="99" w:author="Kevin Wang (QMC)" w:date="2022-10-31T23:07:00Z">
              <w:r>
                <w:t xml:space="preserve"> </w:t>
              </w:r>
            </w:ins>
            <w:r>
              <w:t xml:space="preserve">with </w:t>
            </w:r>
            <w:proofErr w:type="spellStart"/>
            <w:r>
              <w:t>P</w:t>
            </w:r>
            <w:r>
              <w:rPr>
                <w:vertAlign w:val="subscript"/>
              </w:rPr>
              <w:t>CMAX_L,f,c</w:t>
            </w:r>
            <w:proofErr w:type="spellEnd"/>
            <w:r>
              <w:rPr>
                <w:vertAlign w:val="subscript"/>
              </w:rPr>
              <w:t xml:space="preserve"> </w:t>
            </w:r>
            <w:r>
              <w:t>defined in clause [6.2F.4].</w:t>
            </w:r>
          </w:p>
          <w:p>
            <w:pPr>
              <w:pStyle w:val="TAN"/>
              <w:rPr>
                <w:rFonts w:cs="Arial"/>
              </w:rPr>
            </w:pPr>
            <w:r>
              <w:t>NOTE 2:</w:t>
            </w:r>
            <w:r>
              <w:tab/>
              <w:t>The interferer consists of the RMC specified in Annexes A.3.2.2 and A.3.3.2 with one sided dynamic OCNG Pattern OP.1 FDD/TDD for the DL-signal as described in Annex A.5.1.1/A.5.2.1</w:t>
            </w:r>
          </w:p>
        </w:tc>
      </w:tr>
    </w:tbl>
    <w:p/>
    <w:p>
      <w:pPr>
        <w:pStyle w:val="TH"/>
      </w:pPr>
      <w:r>
        <w:t>Table 7.6F.2.1.5-2: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trPr>
          <w:jc w:val="center"/>
        </w:trPr>
        <w:tc>
          <w:tcPr>
            <w:tcW w:w="1106" w:type="dxa"/>
            <w:tcBorders>
              <w:bottom w:val="nil"/>
            </w:tcBorders>
            <w:shd w:val="clear" w:color="auto" w:fill="auto"/>
          </w:tcPr>
          <w:p>
            <w:pPr>
              <w:pStyle w:val="TAH"/>
            </w:pPr>
            <w:r>
              <w:t>Operating band</w:t>
            </w:r>
          </w:p>
        </w:tc>
        <w:tc>
          <w:tcPr>
            <w:tcW w:w="1487" w:type="dxa"/>
            <w:shd w:val="clear" w:color="auto" w:fill="auto"/>
          </w:tcPr>
          <w:p>
            <w:pPr>
              <w:pStyle w:val="TAH"/>
            </w:pPr>
            <w:r>
              <w:t>Parameter</w:t>
            </w:r>
          </w:p>
        </w:tc>
        <w:tc>
          <w:tcPr>
            <w:tcW w:w="799" w:type="dxa"/>
          </w:tcPr>
          <w:p>
            <w:pPr>
              <w:pStyle w:val="TAH"/>
            </w:pPr>
            <w:r>
              <w:t>Unit</w:t>
            </w:r>
          </w:p>
        </w:tc>
        <w:tc>
          <w:tcPr>
            <w:tcW w:w="1625" w:type="dxa"/>
          </w:tcPr>
          <w:p>
            <w:pPr>
              <w:pStyle w:val="TAH"/>
            </w:pPr>
            <w:r>
              <w:t>Case 1</w:t>
            </w:r>
          </w:p>
        </w:tc>
        <w:tc>
          <w:tcPr>
            <w:tcW w:w="1625" w:type="dxa"/>
          </w:tcPr>
          <w:p>
            <w:pPr>
              <w:pStyle w:val="TAH"/>
            </w:pPr>
            <w:r>
              <w:t>Case 2</w:t>
            </w:r>
          </w:p>
        </w:tc>
      </w:tr>
      <w:tr>
        <w:trPr>
          <w:jc w:val="center"/>
        </w:trPr>
        <w:tc>
          <w:tcPr>
            <w:tcW w:w="1106" w:type="dxa"/>
            <w:tcBorders>
              <w:top w:val="nil"/>
              <w:bottom w:val="nil"/>
            </w:tcBorders>
            <w:shd w:val="clear" w:color="auto" w:fill="auto"/>
          </w:tcPr>
          <w:p>
            <w:pPr>
              <w:pStyle w:val="TAL"/>
            </w:pPr>
          </w:p>
        </w:tc>
        <w:tc>
          <w:tcPr>
            <w:tcW w:w="1487" w:type="dxa"/>
            <w:shd w:val="clear" w:color="auto" w:fill="auto"/>
          </w:tcPr>
          <w:p>
            <w:pPr>
              <w:pStyle w:val="TAL"/>
            </w:pPr>
            <w:proofErr w:type="spellStart"/>
            <w:r>
              <w:t>P</w:t>
            </w:r>
            <w:r>
              <w:rPr>
                <w:vertAlign w:val="subscript"/>
              </w:rPr>
              <w:t>interferer</w:t>
            </w:r>
            <w:proofErr w:type="spellEnd"/>
          </w:p>
        </w:tc>
        <w:tc>
          <w:tcPr>
            <w:tcW w:w="799" w:type="dxa"/>
          </w:tcPr>
          <w:p>
            <w:pPr>
              <w:pStyle w:val="TAC"/>
            </w:pPr>
            <w:r>
              <w:t>dBm</w:t>
            </w:r>
          </w:p>
        </w:tc>
        <w:tc>
          <w:tcPr>
            <w:tcW w:w="1625" w:type="dxa"/>
          </w:tcPr>
          <w:p>
            <w:pPr>
              <w:pStyle w:val="TAC"/>
            </w:pPr>
            <w:r>
              <w:t>-56</w:t>
            </w:r>
          </w:p>
        </w:tc>
        <w:tc>
          <w:tcPr>
            <w:tcW w:w="1625" w:type="dxa"/>
          </w:tcPr>
          <w:p>
            <w:pPr>
              <w:pStyle w:val="TAC"/>
            </w:pPr>
            <w:r>
              <w:t>-44</w:t>
            </w:r>
          </w:p>
        </w:tc>
      </w:tr>
      <w:tr>
        <w:trPr>
          <w:jc w:val="center"/>
        </w:trPr>
        <w:tc>
          <w:tcPr>
            <w:tcW w:w="1106" w:type="dxa"/>
            <w:tcBorders>
              <w:top w:val="nil"/>
            </w:tcBorders>
            <w:shd w:val="clear" w:color="auto" w:fill="auto"/>
          </w:tcPr>
          <w:p>
            <w:pPr>
              <w:pStyle w:val="TAL"/>
            </w:pPr>
          </w:p>
        </w:tc>
        <w:tc>
          <w:tcPr>
            <w:tcW w:w="1487" w:type="dxa"/>
            <w:shd w:val="clear" w:color="auto" w:fill="auto"/>
          </w:tcPr>
          <w:p>
            <w:pPr>
              <w:pStyle w:val="TAL"/>
            </w:pPr>
            <w:proofErr w:type="spellStart"/>
            <w:r>
              <w:t>F</w:t>
            </w:r>
            <w:r>
              <w:rPr>
                <w:vertAlign w:val="subscript"/>
              </w:rPr>
              <w:t>interferer</w:t>
            </w:r>
            <w:proofErr w:type="spellEnd"/>
            <w:r>
              <w:t xml:space="preserve"> (offset)</w:t>
            </w:r>
          </w:p>
        </w:tc>
        <w:tc>
          <w:tcPr>
            <w:tcW w:w="799" w:type="dxa"/>
          </w:tcPr>
          <w:p>
            <w:pPr>
              <w:pStyle w:val="TAC"/>
            </w:pPr>
            <w:r>
              <w:t>MHz</w:t>
            </w:r>
          </w:p>
        </w:tc>
        <w:tc>
          <w:tcPr>
            <w:tcW w:w="1625" w:type="dxa"/>
          </w:tcPr>
          <w:p>
            <w:pPr>
              <w:pStyle w:val="TAC"/>
            </w:pPr>
            <w:r>
              <w:t>-CBW/2 –</w:t>
            </w:r>
          </w:p>
          <w:p>
            <w:pPr>
              <w:pStyle w:val="TAC"/>
            </w:pPr>
            <w:proofErr w:type="spellStart"/>
            <w:r>
              <w:t>F</w:t>
            </w:r>
            <w:r>
              <w:rPr>
                <w:vertAlign w:val="subscript"/>
              </w:rPr>
              <w:t>Ioffset</w:t>
            </w:r>
            <w:proofErr w:type="spellEnd"/>
            <w:r>
              <w:rPr>
                <w:vertAlign w:val="subscript"/>
              </w:rPr>
              <w:t>, case 1</w:t>
            </w:r>
          </w:p>
          <w:p>
            <w:pPr>
              <w:pStyle w:val="TAC"/>
            </w:pPr>
            <w:r>
              <w:t>and</w:t>
            </w:r>
          </w:p>
          <w:p>
            <w:pPr>
              <w:pStyle w:val="TAC"/>
            </w:pPr>
            <w:r>
              <w:t>CBW/2 +</w:t>
            </w:r>
          </w:p>
          <w:p>
            <w:pPr>
              <w:pStyle w:val="TAC"/>
            </w:pPr>
            <w:proofErr w:type="spellStart"/>
            <w:r>
              <w:t>F</w:t>
            </w:r>
            <w:r>
              <w:rPr>
                <w:vertAlign w:val="subscript"/>
              </w:rPr>
              <w:t>Ioffset</w:t>
            </w:r>
            <w:proofErr w:type="spellEnd"/>
            <w:r>
              <w:rPr>
                <w:vertAlign w:val="subscript"/>
              </w:rPr>
              <w:t>, case 1</w:t>
            </w:r>
          </w:p>
        </w:tc>
        <w:tc>
          <w:tcPr>
            <w:tcW w:w="1625" w:type="dxa"/>
          </w:tcPr>
          <w:p>
            <w:pPr>
              <w:pStyle w:val="TAC"/>
            </w:pPr>
            <w:r>
              <w:t>≤ -CBW/2 –</w:t>
            </w:r>
          </w:p>
          <w:p>
            <w:pPr>
              <w:pStyle w:val="TAC"/>
            </w:pPr>
            <w:proofErr w:type="spellStart"/>
            <w:r>
              <w:t>F</w:t>
            </w:r>
            <w:r>
              <w:rPr>
                <w:vertAlign w:val="subscript"/>
              </w:rPr>
              <w:t>Ioffset</w:t>
            </w:r>
            <w:proofErr w:type="spellEnd"/>
            <w:r>
              <w:rPr>
                <w:vertAlign w:val="subscript"/>
              </w:rPr>
              <w:t>, case 2</w:t>
            </w:r>
          </w:p>
          <w:p>
            <w:pPr>
              <w:pStyle w:val="TAC"/>
            </w:pPr>
            <w:r>
              <w:t>and</w:t>
            </w:r>
          </w:p>
          <w:p>
            <w:pPr>
              <w:pStyle w:val="TAC"/>
            </w:pPr>
            <w:r>
              <w:t>≥ CBW/2 +</w:t>
            </w:r>
          </w:p>
          <w:p>
            <w:pPr>
              <w:pStyle w:val="TAC"/>
            </w:pPr>
            <w:proofErr w:type="spellStart"/>
            <w:r>
              <w:t>F</w:t>
            </w:r>
            <w:r>
              <w:rPr>
                <w:vertAlign w:val="subscript"/>
              </w:rPr>
              <w:t>Ioffset</w:t>
            </w:r>
            <w:proofErr w:type="spellEnd"/>
            <w:r>
              <w:rPr>
                <w:vertAlign w:val="subscript"/>
              </w:rPr>
              <w:t>, case 2</w:t>
            </w:r>
          </w:p>
        </w:tc>
      </w:tr>
      <w:tr>
        <w:trPr>
          <w:jc w:val="center"/>
        </w:trPr>
        <w:tc>
          <w:tcPr>
            <w:tcW w:w="1106" w:type="dxa"/>
          </w:tcPr>
          <w:p>
            <w:pPr>
              <w:pStyle w:val="TAL"/>
            </w:pPr>
            <w:r>
              <w:t xml:space="preserve">n46, n96 </w:t>
            </w:r>
          </w:p>
        </w:tc>
        <w:tc>
          <w:tcPr>
            <w:tcW w:w="1487" w:type="dxa"/>
            <w:shd w:val="clear" w:color="auto" w:fill="auto"/>
          </w:tcPr>
          <w:p>
            <w:pPr>
              <w:pStyle w:val="TAL"/>
            </w:pPr>
            <w:proofErr w:type="spellStart"/>
            <w:r>
              <w:t>F</w:t>
            </w:r>
            <w:r>
              <w:rPr>
                <w:vertAlign w:val="subscript"/>
              </w:rPr>
              <w:t>interferer</w:t>
            </w:r>
            <w:proofErr w:type="spellEnd"/>
          </w:p>
        </w:tc>
        <w:tc>
          <w:tcPr>
            <w:tcW w:w="799" w:type="dxa"/>
          </w:tcPr>
          <w:p>
            <w:pPr>
              <w:pStyle w:val="TAC"/>
            </w:pPr>
          </w:p>
        </w:tc>
        <w:tc>
          <w:tcPr>
            <w:tcW w:w="1625" w:type="dxa"/>
          </w:tcPr>
          <w:p>
            <w:pPr>
              <w:pStyle w:val="TAC"/>
            </w:pPr>
            <w:r>
              <w:t>NOTE 2</w:t>
            </w:r>
          </w:p>
        </w:tc>
        <w:tc>
          <w:tcPr>
            <w:tcW w:w="1625" w:type="dxa"/>
          </w:tcPr>
          <w:p>
            <w:pPr>
              <w:pStyle w:val="TAC"/>
            </w:pPr>
            <w:proofErr w:type="spellStart"/>
            <w:r>
              <w:t>F</w:t>
            </w:r>
            <w:r>
              <w:rPr>
                <w:vertAlign w:val="subscript"/>
              </w:rPr>
              <w:t>DL_low</w:t>
            </w:r>
            <w:proofErr w:type="spellEnd"/>
            <w:r>
              <w:t xml:space="preserve"> – 3*CBW</w:t>
            </w:r>
          </w:p>
          <w:p>
            <w:pPr>
              <w:pStyle w:val="TAC"/>
            </w:pPr>
            <w:r>
              <w:t>to</w:t>
            </w:r>
          </w:p>
          <w:p>
            <w:pPr>
              <w:pStyle w:val="TAC"/>
            </w:pPr>
            <w:proofErr w:type="spellStart"/>
            <w:r>
              <w:t>F</w:t>
            </w:r>
            <w:r>
              <w:rPr>
                <w:vertAlign w:val="subscript"/>
              </w:rPr>
              <w:t>DL_high</w:t>
            </w:r>
            <w:proofErr w:type="spellEnd"/>
            <w:r>
              <w:t xml:space="preserve"> + 3*CBW,</w:t>
            </w:r>
          </w:p>
          <w:p>
            <w:pPr>
              <w:pStyle w:val="TAC"/>
            </w:pPr>
            <w:r>
              <w:t>NOTE 4</w:t>
            </w:r>
          </w:p>
        </w:tc>
      </w:tr>
      <w:tr>
        <w:trPr>
          <w:jc w:val="center"/>
        </w:trPr>
        <w:tc>
          <w:tcPr>
            <w:tcW w:w="6642" w:type="dxa"/>
            <w:gridSpan w:val="5"/>
          </w:tcPr>
          <w:p>
            <w:pPr>
              <w:pStyle w:val="TAN"/>
            </w:pPr>
            <w:r>
              <w:t>NOTE 1:</w:t>
            </w:r>
            <w:r>
              <w:tab/>
              <w:t xml:space="preserve">The absolute value of the interferer offset </w:t>
            </w:r>
            <w:proofErr w:type="spellStart"/>
            <w:r>
              <w:t>Finterferer</w:t>
            </w:r>
            <w:proofErr w:type="spellEnd"/>
            <w:r>
              <w:t xml:space="preserve"> (offset) shall be further adjusted to </w:t>
            </w:r>
            <w:r>
              <w:rPr>
                <w:rFonts w:eastAsia="Osaka"/>
                <w:position w:val="-10"/>
              </w:rPr>
              <w:object w:dxaOrig="2659" w:dyaOrig="400">
                <v:shape id="_x0000_i1026" type="#_x0000_t75" style="width:113.95pt;height:12.5pt" o:ole="">
                  <v:imagedata r:id="rId12" o:title=""/>
                </v:shape>
                <o:OLEObject Type="Embed" ProgID="Equation.3" ShapeID="_x0000_i1026" DrawAspect="Content" ObjectID="_1730180783"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pPr>
              <w:pStyle w:val="TAN"/>
            </w:pPr>
            <w:r>
              <w:t>NOTE 3:</w:t>
            </w:r>
            <w:r>
              <w:tab/>
              <w:t>CBW denotes the channel bandwidth of the wanted signal</w:t>
            </w:r>
          </w:p>
          <w:p>
            <w:pPr>
              <w:pStyle w:val="TAN"/>
              <w:pPrChange w:id="100" w:author="Kevin Wang (QMC)" w:date="2022-10-31T23:08:00Z">
                <w:pPr>
                  <w:pStyle w:val="TAC"/>
                </w:pPr>
              </w:pPrChange>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1631</TotalTime>
  <Pages>5</Pages>
  <Words>1819</Words>
  <Characters>10433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80</cp:revision>
  <cp:lastPrinted>1900-01-01T08:00:00Z</cp:lastPrinted>
  <dcterms:created xsi:type="dcterms:W3CDTF">2020-02-03T08:32:00Z</dcterms:created>
  <dcterms:modified xsi:type="dcterms:W3CDTF">2022-11-17T16:41:00Z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